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4CA0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000000" w:rsidRDefault="004D4CA0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</w:t>
      </w:r>
      <w:r>
        <w:rPr>
          <w:rFonts w:ascii="Arial" w:hAnsi="Arial" w:cs="Arial"/>
          <w:sz w:val="14"/>
          <w:szCs w:val="14"/>
        </w:rPr>
        <w:t>тановлением Госкомстата России</w:t>
      </w:r>
    </w:p>
    <w:p w:rsidR="00000000" w:rsidRDefault="004D4CA0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D4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4D4CA0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4D4CA0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4D4C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4D4CA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4D4CA0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000000" w:rsidRDefault="004D4CA0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4D4CA0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4D4CA0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000000">
          <w:headerReference w:type="default" r:id="rId6"/>
          <w:pgSz w:w="11906" w:h="16838"/>
          <w:pgMar w:top="794" w:right="737" w:bottom="1134" w:left="1134" w:header="397" w:footer="397" w:gutter="0"/>
          <w:cols w:space="709"/>
        </w:sectPr>
      </w:pPr>
    </w:p>
    <w:p w:rsidR="00000000" w:rsidRDefault="004D4CA0">
      <w:pPr>
        <w:tabs>
          <w:tab w:val="left" w:pos="-1985"/>
        </w:tabs>
        <w:spacing w:after="120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4D4CA0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4CA0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4D4CA0" w:rsidRDefault="004D4CA0">
      <w:pPr>
        <w:spacing w:before="160"/>
        <w:ind w:right="-30"/>
      </w:pPr>
    </w:p>
    <w:sectPr w:rsidR="004D4CA0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A0" w:rsidRDefault="004D4CA0">
      <w:r>
        <w:separator/>
      </w:r>
    </w:p>
  </w:endnote>
  <w:endnote w:type="continuationSeparator" w:id="0">
    <w:p w:rsidR="004D4CA0" w:rsidRDefault="004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A0" w:rsidRDefault="004D4CA0">
      <w:r>
        <w:separator/>
      </w:r>
    </w:p>
  </w:footnote>
  <w:footnote w:type="continuationSeparator" w:id="0">
    <w:p w:rsidR="004D4CA0" w:rsidRDefault="004D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4CA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2"/>
    <w:rsid w:val="004D4CA0"/>
    <w:rsid w:val="005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1B82C0-288C-49E0-B6AD-CD5DC05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Company>NPO VMI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М-11</dc:title>
  <dc:subject/>
  <dc:creator>ConsultantPlus</dc:creator>
  <cp:keywords/>
  <dc:description/>
  <cp:lastModifiedBy>Учетная запись Майкрософт</cp:lastModifiedBy>
  <cp:revision>2</cp:revision>
  <cp:lastPrinted>2001-10-04T08:12:00Z</cp:lastPrinted>
  <dcterms:created xsi:type="dcterms:W3CDTF">2023-11-17T06:39:00Z</dcterms:created>
  <dcterms:modified xsi:type="dcterms:W3CDTF">2023-11-17T06:39:00Z</dcterms:modified>
</cp:coreProperties>
</file>